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68 草酸铜  COPPER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OXALATE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pStyle w:val="2"/>
        <w:widowControl/>
        <w:kinsoku/>
        <w:overflowPunct/>
        <w:topLinePunct w:val="0"/>
        <w:autoSpaceDE/>
        <w:autoSpaceDN/>
        <w:bidi w:val="0"/>
        <w:spacing w:beforeAutospacing="0" w:afterAutospacing="0" w:line="288" w:lineRule="auto"/>
        <w:rPr>
          <w:rFonts w:ascii="宋体" w:hAnsi="宋体" w:cs="宋体"/>
          <w:color w:val="auto"/>
          <w:sz w:val="21"/>
        </w:rPr>
      </w:pPr>
      <w:r>
        <w:rPr>
          <w:rFonts w:hint="eastAsia"/>
          <w:b/>
          <w:color w:val="auto"/>
          <w:kern w:val="2"/>
          <w:sz w:val="21"/>
        </w:rPr>
        <w:t>一、化学名：</w:t>
      </w:r>
      <w:r>
        <w:rPr>
          <w:rFonts w:hint="eastAsia"/>
          <w:color w:val="auto"/>
          <w:kern w:val="2"/>
          <w:sz w:val="21"/>
        </w:rPr>
        <w:t>草酸铜</w:t>
      </w:r>
    </w:p>
    <w:p>
      <w:pPr>
        <w:pStyle w:val="2"/>
        <w:widowControl/>
        <w:kinsoku/>
        <w:overflowPunct/>
        <w:topLinePunct w:val="0"/>
        <w:autoSpaceDE/>
        <w:autoSpaceDN/>
        <w:bidi w:val="0"/>
        <w:spacing w:beforeAutospacing="0" w:afterAutospacing="0" w:line="288" w:lineRule="auto"/>
        <w:rPr>
          <w:rFonts w:ascii="宋体" w:hAnsi="宋体" w:cs="宋体"/>
          <w:color w:val="auto"/>
          <w:sz w:val="21"/>
        </w:rPr>
      </w:pPr>
      <w:r>
        <w:rPr>
          <w:rFonts w:hint="eastAsia"/>
          <w:b/>
          <w:color w:val="auto"/>
          <w:kern w:val="2"/>
          <w:sz w:val="21"/>
        </w:rPr>
        <w:t>二、分子式：</w:t>
      </w:r>
      <w:r>
        <w:rPr>
          <w:rFonts w:hint="eastAsia"/>
          <w:bCs/>
          <w:color w:val="auto"/>
          <w:sz w:val="21"/>
        </w:rPr>
        <w:t>Cu</w:t>
      </w:r>
      <w:r>
        <w:rPr>
          <w:rFonts w:hint="eastAsia"/>
          <w:color w:val="auto"/>
          <w:sz w:val="21"/>
        </w:rPr>
        <w:t>C</w:t>
      </w:r>
      <w:r>
        <w:rPr>
          <w:rFonts w:hint="eastAsia"/>
          <w:color w:val="auto"/>
          <w:sz w:val="21"/>
          <w:vertAlign w:val="subscript"/>
        </w:rPr>
        <w:t>2</w:t>
      </w:r>
      <w:r>
        <w:rPr>
          <w:rFonts w:hint="eastAsia"/>
          <w:color w:val="auto"/>
          <w:sz w:val="21"/>
        </w:rPr>
        <w:t>O</w:t>
      </w:r>
      <w:r>
        <w:rPr>
          <w:rFonts w:hint="eastAsia"/>
          <w:color w:val="auto"/>
          <w:sz w:val="21"/>
          <w:vertAlign w:val="subscript"/>
        </w:rPr>
        <w:t>4</w:t>
      </w:r>
    </w:p>
    <w:p>
      <w:pPr>
        <w:pStyle w:val="2"/>
        <w:widowControl/>
        <w:kinsoku/>
        <w:overflowPunct/>
        <w:topLinePunct w:val="0"/>
        <w:autoSpaceDE/>
        <w:autoSpaceDN/>
        <w:bidi w:val="0"/>
        <w:spacing w:beforeAutospacing="0" w:afterAutospacing="0" w:line="288" w:lineRule="auto"/>
        <w:rPr>
          <w:rFonts w:ascii="宋体" w:hAnsi="宋体" w:cs="宋体"/>
          <w:color w:val="auto"/>
          <w:sz w:val="21"/>
        </w:rPr>
      </w:pPr>
      <w:r>
        <w:rPr>
          <w:rFonts w:hint="eastAsia"/>
          <w:b/>
          <w:color w:val="auto"/>
          <w:kern w:val="2"/>
          <w:sz w:val="21"/>
        </w:rPr>
        <w:t>三、分子量：</w:t>
      </w:r>
      <w:r>
        <w:rPr>
          <w:rFonts w:hint="eastAsia"/>
          <w:color w:val="auto"/>
          <w:kern w:val="2"/>
          <w:sz w:val="21"/>
        </w:rPr>
        <w:t>151.57</w:t>
      </w:r>
    </w:p>
    <w:p>
      <w:pPr>
        <w:pStyle w:val="2"/>
        <w:widowControl/>
        <w:kinsoku/>
        <w:overflowPunct/>
        <w:topLinePunct w:val="0"/>
        <w:autoSpaceDE/>
        <w:autoSpaceDN/>
        <w:bidi w:val="0"/>
        <w:spacing w:beforeAutospacing="0" w:afterAutospacing="0" w:line="288" w:lineRule="auto"/>
        <w:rPr>
          <w:rFonts w:ascii="宋体" w:hAnsi="宋体" w:cs="宋体"/>
          <w:color w:val="auto"/>
          <w:sz w:val="21"/>
        </w:rPr>
      </w:pPr>
      <w:r>
        <w:rPr>
          <w:rFonts w:hint="eastAsia"/>
          <w:b/>
          <w:color w:val="auto"/>
          <w:kern w:val="2"/>
          <w:sz w:val="21"/>
        </w:rPr>
        <w:t>四、CAS：</w:t>
      </w:r>
      <w:r>
        <w:rPr>
          <w:rFonts w:hint="eastAsia"/>
          <w:color w:val="auto"/>
          <w:kern w:val="2"/>
          <w:sz w:val="21"/>
        </w:rPr>
        <w:t>814-91-5</w:t>
      </w:r>
    </w:p>
    <w:p>
      <w:pPr>
        <w:pStyle w:val="2"/>
        <w:widowControl/>
        <w:kinsoku/>
        <w:overflowPunct/>
        <w:topLinePunct w:val="0"/>
        <w:autoSpaceDE/>
        <w:autoSpaceDN/>
        <w:bidi w:val="0"/>
        <w:spacing w:beforeAutospacing="0" w:afterAutospacing="0" w:line="288" w:lineRule="auto"/>
        <w:ind w:left="422" w:hanging="422" w:hangingChars="200"/>
        <w:rPr>
          <w:rFonts w:ascii="宋体" w:hAnsi="宋体" w:cs="宋体"/>
          <w:color w:val="auto"/>
          <w:sz w:val="21"/>
        </w:rPr>
      </w:pPr>
      <w:r>
        <w:rPr>
          <w:rFonts w:hint="eastAsia"/>
          <w:b/>
          <w:color w:val="auto"/>
          <w:kern w:val="2"/>
          <w:sz w:val="21"/>
        </w:rPr>
        <w:t>五、性状：</w:t>
      </w:r>
      <w:r>
        <w:rPr>
          <w:rFonts w:hint="eastAsia" w:ascii="宋体" w:hAnsi="宋体" w:cs="宋体"/>
          <w:color w:val="auto"/>
          <w:sz w:val="21"/>
        </w:rPr>
        <w:t>无气味浅蓝绿色粉末,</w:t>
      </w:r>
      <w:r>
        <w:rPr>
          <w:rFonts w:hint="eastAsia"/>
          <w:color w:val="auto"/>
          <w:kern w:val="2"/>
          <w:sz w:val="21"/>
        </w:rPr>
        <w:t>1.28g/cm</w:t>
      </w:r>
      <w:r>
        <w:rPr>
          <w:rFonts w:hint="eastAsia"/>
          <w:color w:val="auto"/>
          <w:kern w:val="2"/>
          <w:sz w:val="21"/>
          <w:vertAlign w:val="superscript"/>
        </w:rPr>
        <w:t>3</w:t>
      </w:r>
      <w:r>
        <w:rPr>
          <w:rFonts w:hint="eastAsia" w:ascii="宋体" w:hAnsi="宋体" w:cs="宋体"/>
          <w:color w:val="auto"/>
          <w:sz w:val="21"/>
        </w:rPr>
        <w:t>，溶于</w:t>
      </w:r>
      <w:r>
        <w:rPr>
          <w:rFonts w:hint="eastAsia" w:ascii="宋体" w:hAnsi="宋体" w:cs="宋体"/>
          <w:color w:val="auto"/>
          <w:sz w:val="21"/>
        </w:rPr>
        <w:fldChar w:fldCharType="begin"/>
      </w:r>
      <w:r>
        <w:rPr>
          <w:rFonts w:hint="eastAsia" w:ascii="宋体" w:hAnsi="宋体" w:cs="宋体"/>
          <w:color w:val="auto"/>
          <w:sz w:val="21"/>
        </w:rPr>
        <w:instrText xml:space="preserve"> HYPERLINK "https://detail.1688.com/offer/550060714244.html?spm=a26286.8251493.0.0.221425b2QFVXwd" </w:instrText>
      </w:r>
      <w:r>
        <w:rPr>
          <w:rFonts w:hint="eastAsia" w:ascii="宋体" w:hAnsi="宋体" w:cs="宋体"/>
          <w:color w:val="auto"/>
          <w:sz w:val="21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1"/>
          <w:u w:val="none"/>
        </w:rPr>
        <w:t>氨水</w:t>
      </w:r>
      <w:r>
        <w:rPr>
          <w:rFonts w:hint="eastAsia" w:ascii="宋体" w:hAnsi="宋体" w:cs="宋体"/>
          <w:color w:val="auto"/>
          <w:sz w:val="21"/>
        </w:rPr>
        <w:fldChar w:fldCharType="end"/>
      </w:r>
      <w:r>
        <w:rPr>
          <w:rFonts w:hint="eastAsia" w:ascii="宋体" w:hAnsi="宋体" w:cs="宋体"/>
          <w:color w:val="auto"/>
          <w:sz w:val="21"/>
        </w:rPr>
        <w:t>，几乎不溶于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"https://detail.1688.com/offer/550060714244.html?spm=a26286.8251493.0.0.221425b2QFVXwd"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1"/>
          <w:u w:val="none"/>
        </w:rPr>
        <w:t>水</w:t>
      </w:r>
      <w:r>
        <w:rPr>
          <w:rFonts w:hint="eastAsia" w:ascii="宋体" w:hAnsi="宋体" w:cs="宋体"/>
          <w:color w:val="auto"/>
          <w:sz w:val="21"/>
        </w:rPr>
        <w:fldChar w:fldCharType="end"/>
      </w:r>
      <w:r>
        <w:rPr>
          <w:rFonts w:hint="eastAsia" w:ascii="宋体" w:hAnsi="宋体" w:cs="宋体"/>
          <w:color w:val="auto"/>
          <w:sz w:val="21"/>
        </w:rPr>
        <w:t>、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"https://detail.1688.com/offer/550060714244.html?spm=a26286.8251493.0.0.221425b2QFVXwd"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1"/>
          <w:u w:val="none"/>
        </w:rPr>
        <w:t>乙醇</w:t>
      </w:r>
      <w:r>
        <w:rPr>
          <w:rFonts w:hint="eastAsia" w:ascii="宋体" w:hAnsi="宋体" w:cs="宋体"/>
          <w:color w:val="auto"/>
          <w:sz w:val="21"/>
        </w:rPr>
        <w:fldChar w:fldCharType="end"/>
      </w:r>
      <w:r>
        <w:rPr>
          <w:rFonts w:hint="eastAsia" w:ascii="宋体" w:hAnsi="宋体" w:cs="宋体"/>
          <w:color w:val="auto"/>
          <w:sz w:val="21"/>
        </w:rPr>
        <w:t>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"https://detail.1688.com/offer/550060714244.html?spm=a26286.8251493.0.0.221425b2QFVXwd"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1"/>
          <w:u w:val="none"/>
        </w:rPr>
        <w:t>乙酸</w:t>
      </w:r>
      <w:r>
        <w:rPr>
          <w:rFonts w:hint="eastAsia" w:ascii="宋体" w:hAnsi="宋体" w:cs="宋体"/>
          <w:color w:val="auto"/>
          <w:sz w:val="21"/>
        </w:rPr>
        <w:fldChar w:fldCharType="end"/>
      </w:r>
      <w:r>
        <w:rPr>
          <w:rFonts w:hint="eastAsia" w:ascii="宋体" w:hAnsi="宋体" w:cs="宋体"/>
          <w:color w:val="auto"/>
          <w:sz w:val="21"/>
        </w:rPr>
        <w:t>。 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"https://detail.1688.com/offer/550060714244.html?spm=a26286.8251493.0.0.221425b2QFVXwd"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1"/>
          <w:u w:val="none"/>
        </w:rPr>
        <w:t>化学性质</w:t>
      </w:r>
      <w:r>
        <w:rPr>
          <w:rFonts w:hint="eastAsia" w:ascii="宋体" w:hAnsi="宋体" w:cs="宋体"/>
          <w:color w:val="auto"/>
          <w:sz w:val="21"/>
        </w:rPr>
        <w:fldChar w:fldCharType="end"/>
      </w:r>
      <w:r>
        <w:rPr>
          <w:rFonts w:hint="eastAsia" w:ascii="宋体" w:hAnsi="宋体" w:cs="宋体"/>
          <w:color w:val="auto"/>
          <w:sz w:val="21"/>
        </w:rPr>
        <w:t>较为稳定,极不易被氧化,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"https://detail.1688.com/offer/550060714244.html?spm=a26286.8251493.0.0.221425b2QFVXwd"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1"/>
          <w:u w:val="none"/>
        </w:rPr>
        <w:t>铬酐</w:t>
      </w:r>
      <w:r>
        <w:rPr>
          <w:rFonts w:hint="eastAsia" w:ascii="宋体" w:hAnsi="宋体" w:cs="宋体"/>
          <w:color w:val="auto"/>
          <w:sz w:val="21"/>
        </w:rPr>
        <w:fldChar w:fldCharType="end"/>
      </w:r>
      <w:r>
        <w:rPr>
          <w:rFonts w:hint="eastAsia" w:ascii="宋体" w:hAnsi="宋体" w:cs="宋体"/>
          <w:color w:val="auto"/>
          <w:sz w:val="21"/>
        </w:rPr>
        <w:t>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"https://detail.1688.com/offer/550060714244.html?spm=a26286.8251493.0.0.221425b2QFVXwd"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1"/>
          <w:u w:val="none"/>
        </w:rPr>
        <w:t>过硫酸铵</w:t>
      </w:r>
      <w:r>
        <w:rPr>
          <w:rFonts w:hint="eastAsia" w:ascii="宋体" w:hAnsi="宋体" w:cs="宋体"/>
          <w:color w:val="auto"/>
          <w:sz w:val="21"/>
        </w:rPr>
        <w:fldChar w:fldCharType="end"/>
      </w:r>
      <w:r>
        <w:rPr>
          <w:rFonts w:hint="eastAsia" w:ascii="宋体" w:hAnsi="宋体" w:cs="宋体"/>
          <w:color w:val="auto"/>
          <w:sz w:val="21"/>
        </w:rPr>
        <w:t>也不行。</w:t>
      </w:r>
    </w:p>
    <w:p>
      <w:pPr>
        <w:pStyle w:val="2"/>
        <w:widowControl/>
        <w:kinsoku/>
        <w:overflowPunct/>
        <w:topLinePunct w:val="0"/>
        <w:autoSpaceDE/>
        <w:autoSpaceDN/>
        <w:bidi w:val="0"/>
        <w:spacing w:beforeAutospacing="0" w:afterAutospacing="0" w:line="288" w:lineRule="auto"/>
        <w:rPr>
          <w:rFonts w:ascii="宋体" w:hAnsi="宋体" w:cs="宋体"/>
          <w:color w:val="auto"/>
          <w:sz w:val="21"/>
        </w:rPr>
      </w:pPr>
      <w:r>
        <w:rPr>
          <w:rFonts w:hint="eastAsia"/>
          <w:b/>
          <w:color w:val="auto"/>
          <w:kern w:val="2"/>
          <w:sz w:val="21"/>
        </w:rPr>
        <w:t>六、用途：</w:t>
      </w:r>
      <w:r>
        <w:rPr>
          <w:rFonts w:hint="eastAsia" w:ascii="宋体" w:hAnsi="宋体" w:cs="宋体"/>
          <w:color w:val="auto"/>
          <w:sz w:val="21"/>
        </w:rPr>
        <w:t>作分析试剂，合成中间体。</w:t>
      </w:r>
    </w:p>
    <w:p>
      <w:pPr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/>
          <w:color w:val="auto"/>
        </w:rPr>
      </w:pPr>
      <w:r>
        <w:rPr>
          <w:rFonts w:hint="eastAsia"/>
          <w:b/>
          <w:color w:val="auto"/>
        </w:rPr>
        <w:t>七、包装：</w:t>
      </w:r>
      <w:r>
        <w:rPr>
          <w:rFonts w:hAnsi="宋体"/>
          <w:color w:val="auto"/>
          <w:kern w:val="0"/>
        </w:rPr>
        <w:t>内衬聚乙烯塑料袋，外套复合塑料编织袋包装，每袋净重</w:t>
      </w:r>
      <w:r>
        <w:rPr>
          <w:color w:val="auto"/>
          <w:kern w:val="0"/>
        </w:rPr>
        <w:t>25kg</w:t>
      </w:r>
      <w:r>
        <w:rPr>
          <w:rFonts w:hint="eastAsia"/>
          <w:color w:val="auto"/>
          <w:kern w:val="0"/>
        </w:rPr>
        <w:t>。</w:t>
      </w:r>
    </w:p>
    <w:p>
      <w:pPr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2" w:hanging="422" w:hangingChars="200"/>
        <w:rPr>
          <w:rFonts w:ascii="Tahoma" w:hAnsi="Tahoma" w:eastAsia="Tahoma" w:cs="Tahoma"/>
          <w:color w:val="auto"/>
        </w:rPr>
      </w:pPr>
      <w:r>
        <w:rPr>
          <w:b/>
          <w:color w:val="auto"/>
        </w:rPr>
        <w:t>八、贮存与运输：</w:t>
      </w:r>
      <w:r>
        <w:rPr>
          <w:color w:val="auto"/>
        </w:rPr>
        <w:t>本品应贮存在干燥通风清洁的库房中，装载运输时要轻装轻放，防止包装破损，防止受潮、受热，运输过程中防止雨淋受潮，应与有毒物品隔离。</w:t>
      </w:r>
      <w:r>
        <w:rPr>
          <w:rFonts w:ascii="Tahoma" w:hAnsi="Tahoma" w:eastAsia="Tahoma" w:cs="Tahoma"/>
          <w:color w:val="auto"/>
        </w:rPr>
        <w:t> </w:t>
      </w:r>
    </w:p>
    <w:p>
      <w:pPr>
        <w:kinsoku/>
        <w:overflowPunct/>
        <w:topLinePunct w:val="0"/>
        <w:autoSpaceDE/>
        <w:autoSpaceDN/>
        <w:bidi w:val="0"/>
        <w:spacing w:line="288" w:lineRule="auto"/>
        <w:rPr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2933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7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kern w:val="2"/>
                <w:sz w:val="21"/>
              </w:rPr>
              <w:t>质量指标</w:t>
            </w: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Style w:val="5"/>
                <w:rFonts w:hint="eastAsia" w:ascii="Tahoma" w:hAnsi="Tahoma" w:cs="Tahoma"/>
                <w:color w:val="auto"/>
              </w:rPr>
            </w:pPr>
            <w:r>
              <w:rPr>
                <w:b/>
                <w:color w:val="auto"/>
              </w:rPr>
              <w:t>Specification</w:t>
            </w:r>
          </w:p>
        </w:tc>
        <w:tc>
          <w:tcPr>
            <w:tcW w:w="2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7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distribute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>含量CuC</w:t>
            </w:r>
            <w:r>
              <w:rPr>
                <w:color w:val="auto"/>
                <w:kern w:val="2"/>
                <w:sz w:val="21"/>
                <w:vertAlign w:val="subscript"/>
              </w:rPr>
              <w:t>2</w:t>
            </w:r>
            <w:r>
              <w:rPr>
                <w:color w:val="auto"/>
                <w:kern w:val="2"/>
                <w:sz w:val="21"/>
              </w:rPr>
              <w:t>O</w:t>
            </w:r>
            <w:r>
              <w:rPr>
                <w:color w:val="auto"/>
                <w:kern w:val="2"/>
                <w:sz w:val="21"/>
                <w:vertAlign w:val="subscript"/>
              </w:rPr>
              <w:t>4</w:t>
            </w:r>
            <w:r>
              <w:rPr>
                <w:rFonts w:hint="eastAsia"/>
                <w:color w:val="auto"/>
                <w:kern w:val="2"/>
                <w:sz w:val="21"/>
              </w:rPr>
              <w:t>，</w:t>
            </w:r>
            <w:r>
              <w:rPr>
                <w:rFonts w:hint="eastAsia"/>
                <w:i/>
                <w:color w:val="auto"/>
              </w:rPr>
              <w:t xml:space="preserve">w/%             </w:t>
            </w:r>
            <w:r>
              <w:rPr>
                <w:rFonts w:hint="eastAsia"/>
                <w:i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 xml:space="preserve"> </w:t>
            </w:r>
            <w:r>
              <w:rPr>
                <w:color w:val="auto"/>
              </w:rPr>
              <w:t>≥</w:t>
            </w: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distribute"/>
              <w:rPr>
                <w:rFonts w:hint="eastAsia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Assay(Cu</w:t>
            </w:r>
            <w:r>
              <w:rPr>
                <w:color w:val="auto"/>
                <w:kern w:val="2"/>
                <w:sz w:val="21"/>
              </w:rPr>
              <w:t>C</w:t>
            </w:r>
            <w:r>
              <w:rPr>
                <w:color w:val="auto"/>
                <w:kern w:val="2"/>
                <w:sz w:val="21"/>
                <w:vertAlign w:val="subscript"/>
              </w:rPr>
              <w:t>2</w:t>
            </w:r>
            <w:r>
              <w:rPr>
                <w:color w:val="auto"/>
                <w:kern w:val="2"/>
                <w:sz w:val="21"/>
              </w:rPr>
              <w:t>O</w:t>
            </w:r>
            <w:r>
              <w:rPr>
                <w:color w:val="auto"/>
                <w:kern w:val="2"/>
                <w:sz w:val="21"/>
                <w:vertAlign w:val="subscript"/>
              </w:rPr>
              <w:t>4</w:t>
            </w:r>
            <w:r>
              <w:rPr>
                <w:rFonts w:hint="eastAsia"/>
                <w:color w:val="auto"/>
                <w:kern w:val="2"/>
                <w:sz w:val="21"/>
              </w:rPr>
              <w:t>),</w:t>
            </w:r>
            <w:r>
              <w:rPr>
                <w:rFonts w:hint="eastAsia"/>
                <w:i/>
                <w:color w:val="auto"/>
              </w:rPr>
              <w:t xml:space="preserve">w/%    </w:t>
            </w:r>
            <w:r>
              <w:rPr>
                <w:color w:val="auto"/>
              </w:rPr>
              <w:t>≥</w:t>
            </w:r>
          </w:p>
        </w:tc>
        <w:tc>
          <w:tcPr>
            <w:tcW w:w="2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center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>99.0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7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distribute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>含水量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i/>
                <w:color w:val="auto"/>
              </w:rPr>
              <w:t xml:space="preserve">w/%             </w:t>
            </w:r>
            <w:r>
              <w:rPr>
                <w:color w:val="auto"/>
              </w:rPr>
              <w:t>≥</w:t>
            </w: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distribute"/>
              <w:rPr>
                <w:rFonts w:hint="eastAsia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M</w:t>
            </w:r>
            <w:r>
              <w:rPr>
                <w:color w:val="auto"/>
                <w:kern w:val="2"/>
                <w:sz w:val="21"/>
              </w:rPr>
              <w:t>oisture</w:t>
            </w:r>
            <w:r>
              <w:rPr>
                <w:rFonts w:hint="eastAsia"/>
                <w:color w:val="auto"/>
                <w:kern w:val="2"/>
                <w:sz w:val="21"/>
              </w:rPr>
              <w:t>,</w:t>
            </w:r>
            <w:r>
              <w:rPr>
                <w:rFonts w:hint="eastAsia"/>
                <w:i/>
                <w:color w:val="auto"/>
              </w:rPr>
              <w:t xml:space="preserve">w/%          </w:t>
            </w:r>
            <w:r>
              <w:rPr>
                <w:color w:val="auto"/>
              </w:rPr>
              <w:t>≥</w:t>
            </w:r>
          </w:p>
        </w:tc>
        <w:tc>
          <w:tcPr>
            <w:tcW w:w="2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center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7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distribute"/>
              <w:rPr>
                <w:rFonts w:hint="eastAsia"/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>铁（Fe）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i/>
                <w:color w:val="auto"/>
              </w:rPr>
              <w:t xml:space="preserve">w/%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≤</w:t>
            </w: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distribute"/>
              <w:rPr>
                <w:rFonts w:hint="eastAsia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I</w:t>
            </w:r>
            <w:r>
              <w:rPr>
                <w:color w:val="auto"/>
                <w:kern w:val="2"/>
                <w:sz w:val="21"/>
              </w:rPr>
              <w:t>ron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i/>
                <w:color w:val="auto"/>
              </w:rPr>
              <w:t xml:space="preserve">w/%         </w:t>
            </w:r>
            <w:r>
              <w:rPr>
                <w:color w:val="auto"/>
              </w:rPr>
              <w:t>≤</w:t>
            </w:r>
          </w:p>
        </w:tc>
        <w:tc>
          <w:tcPr>
            <w:tcW w:w="2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88" w:lineRule="auto"/>
              <w:jc w:val="center"/>
              <w:rPr>
                <w:color w:val="auto"/>
                <w:kern w:val="2"/>
                <w:sz w:val="21"/>
              </w:rPr>
            </w:pPr>
            <w:r>
              <w:rPr>
                <w:color w:val="auto"/>
                <w:kern w:val="2"/>
                <w:sz w:val="21"/>
              </w:rPr>
              <w:t>0.001</w:t>
            </w:r>
          </w:p>
        </w:tc>
      </w:tr>
    </w:tbl>
    <w:p>
      <w:pPr>
        <w:kinsoku/>
        <w:overflowPunct/>
        <w:topLinePunct w:val="0"/>
        <w:autoSpaceDE/>
        <w:autoSpaceDN/>
        <w:bidi w:val="0"/>
        <w:spacing w:line="288" w:lineRule="auto"/>
        <w:rPr>
          <w:color w:val="auto"/>
        </w:rPr>
      </w:pP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rPr>
          <w:color w:val="auto"/>
          <w:kern w:val="0"/>
        </w:rPr>
      </w:pPr>
      <w:r>
        <w:rPr>
          <w:b/>
          <w:bCs/>
          <w:color w:val="auto"/>
          <w:kern w:val="0"/>
        </w:rPr>
        <w:t xml:space="preserve">1、Chemical Name: </w:t>
      </w:r>
      <w:r>
        <w:rPr>
          <w:color w:val="auto"/>
          <w:kern w:val="0"/>
        </w:rPr>
        <w:t>C</w:t>
      </w:r>
      <w:r>
        <w:rPr>
          <w:rFonts w:hint="eastAsia"/>
          <w:color w:val="auto"/>
          <w:kern w:val="0"/>
        </w:rPr>
        <w:t>opper</w:t>
      </w:r>
      <w:r>
        <w:rPr>
          <w:color w:val="auto"/>
          <w:kern w:val="0"/>
        </w:rPr>
        <w:t xml:space="preserve"> O</w:t>
      </w:r>
      <w:r>
        <w:rPr>
          <w:rFonts w:hint="eastAsia"/>
          <w:color w:val="auto"/>
          <w:kern w:val="0"/>
        </w:rPr>
        <w:t>xalate</w:t>
      </w: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rPr>
          <w:color w:val="auto"/>
          <w:kern w:val="0"/>
        </w:rPr>
      </w:pPr>
      <w:r>
        <w:rPr>
          <w:b/>
          <w:bCs/>
          <w:color w:val="auto"/>
          <w:kern w:val="0"/>
        </w:rPr>
        <w:t xml:space="preserve">2、Molecular Formula: </w:t>
      </w:r>
      <w:r>
        <w:rPr>
          <w:color w:val="auto"/>
          <w:kern w:val="0"/>
        </w:rPr>
        <w:t>CuC2O4</w:t>
      </w: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rPr>
          <w:color w:val="auto"/>
          <w:kern w:val="0"/>
        </w:rPr>
      </w:pPr>
      <w:r>
        <w:rPr>
          <w:b/>
          <w:bCs/>
          <w:color w:val="auto"/>
          <w:kern w:val="0"/>
        </w:rPr>
        <w:t>3、Molecular Weight:</w:t>
      </w:r>
      <w:r>
        <w:rPr>
          <w:color w:val="auto"/>
          <w:kern w:val="0"/>
        </w:rPr>
        <w:t xml:space="preserve"> 151.57</w:t>
      </w: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rPr>
          <w:color w:val="auto"/>
          <w:kern w:val="0"/>
        </w:rPr>
      </w:pPr>
      <w:r>
        <w:rPr>
          <w:b/>
          <w:bCs/>
          <w:color w:val="auto"/>
          <w:kern w:val="0"/>
        </w:rPr>
        <w:t xml:space="preserve">4、CAS: </w:t>
      </w:r>
      <w:r>
        <w:rPr>
          <w:color w:val="auto"/>
          <w:kern w:val="0"/>
        </w:rPr>
        <w:t>814-91-5</w:t>
      </w: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ind w:left="354" w:hanging="353"/>
        <w:rPr>
          <w:color w:val="auto"/>
          <w:kern w:val="0"/>
        </w:rPr>
      </w:pPr>
      <w:r>
        <w:rPr>
          <w:b/>
          <w:bCs/>
          <w:color w:val="auto"/>
          <w:kern w:val="0"/>
        </w:rPr>
        <w:t>5、Character:</w:t>
      </w:r>
      <w:r>
        <w:rPr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 xml:space="preserve">It </w:t>
      </w:r>
      <w:r>
        <w:rPr>
          <w:color w:val="auto"/>
          <w:kern w:val="0"/>
        </w:rPr>
        <w:t>is odorless light blue</w:t>
      </w:r>
      <w:r>
        <w:rPr>
          <w:rFonts w:hint="eastAsia"/>
          <w:color w:val="auto"/>
          <w:kern w:val="0"/>
        </w:rPr>
        <w:t>-</w:t>
      </w:r>
      <w:r>
        <w:rPr>
          <w:color w:val="auto"/>
          <w:kern w:val="0"/>
        </w:rPr>
        <w:t>green powder</w:t>
      </w:r>
      <w:r>
        <w:rPr>
          <w:rFonts w:hint="eastAsia"/>
          <w:color w:val="auto"/>
          <w:kern w:val="0"/>
        </w:rPr>
        <w:t xml:space="preserve"> with density</w:t>
      </w:r>
      <w:r>
        <w:rPr>
          <w:color w:val="auto"/>
          <w:kern w:val="0"/>
        </w:rPr>
        <w:t xml:space="preserve"> 1.28g/cm3</w:t>
      </w:r>
      <w:r>
        <w:rPr>
          <w:rFonts w:hint="eastAsia"/>
          <w:color w:val="auto"/>
          <w:kern w:val="0"/>
        </w:rPr>
        <w:t>. I</w:t>
      </w:r>
      <w:r>
        <w:rPr>
          <w:color w:val="auto"/>
          <w:kern w:val="0"/>
        </w:rPr>
        <w:t>t is soluble in ammonium hydroxide,</w:t>
      </w:r>
      <w:r>
        <w:rPr>
          <w:rFonts w:hint="eastAsia"/>
          <w:color w:val="auto"/>
          <w:kern w:val="0"/>
        </w:rPr>
        <w:t xml:space="preserve"> and</w:t>
      </w:r>
      <w:r>
        <w:rPr>
          <w:color w:val="auto"/>
          <w:kern w:val="0"/>
        </w:rPr>
        <w:t xml:space="preserve"> it is hardly soluble in water, ethanol </w:t>
      </w:r>
      <w:r>
        <w:rPr>
          <w:rFonts w:hint="eastAsia"/>
          <w:color w:val="auto"/>
          <w:kern w:val="0"/>
        </w:rPr>
        <w:t xml:space="preserve">or </w:t>
      </w:r>
      <w:r>
        <w:rPr>
          <w:color w:val="auto"/>
          <w:kern w:val="0"/>
        </w:rPr>
        <w:t>acetic acid. It is stable and difficult to be oxidized</w:t>
      </w:r>
      <w:r>
        <w:rPr>
          <w:rFonts w:hint="eastAsia"/>
          <w:color w:val="auto"/>
          <w:kern w:val="0"/>
        </w:rPr>
        <w:t xml:space="preserve">, even by </w:t>
      </w:r>
      <w:r>
        <w:rPr>
          <w:color w:val="auto"/>
          <w:kern w:val="0"/>
        </w:rPr>
        <w:t>chromium trioxide</w:t>
      </w:r>
      <w:r>
        <w:rPr>
          <w:rFonts w:hint="eastAsia"/>
          <w:color w:val="auto"/>
          <w:kern w:val="0"/>
        </w:rPr>
        <w:t xml:space="preserve"> or ammonium persulfate</w:t>
      </w:r>
      <w:r>
        <w:rPr>
          <w:color w:val="auto"/>
          <w:kern w:val="0"/>
        </w:rPr>
        <w:t>.</w:t>
      </w: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ind w:left="354" w:hanging="353"/>
        <w:rPr>
          <w:color w:val="auto"/>
          <w:kern w:val="0"/>
        </w:rPr>
      </w:pPr>
      <w:r>
        <w:rPr>
          <w:b/>
          <w:bCs/>
          <w:color w:val="auto"/>
          <w:kern w:val="0"/>
        </w:rPr>
        <w:t>6、Usage:</w:t>
      </w:r>
      <w:r>
        <w:rPr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>I</w:t>
      </w:r>
      <w:r>
        <w:rPr>
          <w:color w:val="auto"/>
          <w:kern w:val="0"/>
        </w:rPr>
        <w:t xml:space="preserve">t is used </w:t>
      </w:r>
      <w:r>
        <w:rPr>
          <w:rFonts w:hint="eastAsia"/>
          <w:color w:val="auto"/>
          <w:kern w:val="0"/>
        </w:rPr>
        <w:t>as</w:t>
      </w:r>
      <w:r>
        <w:rPr>
          <w:color w:val="auto"/>
          <w:kern w:val="0"/>
        </w:rPr>
        <w:t xml:space="preserve"> analytical reagent, </w:t>
      </w:r>
      <w:r>
        <w:rPr>
          <w:rFonts w:hint="eastAsia"/>
          <w:color w:val="auto"/>
          <w:kern w:val="0"/>
        </w:rPr>
        <w:t xml:space="preserve">or </w:t>
      </w:r>
      <w:r>
        <w:rPr>
          <w:color w:val="auto"/>
          <w:kern w:val="0"/>
        </w:rPr>
        <w:t>intermediate</w:t>
      </w:r>
      <w:r>
        <w:rPr>
          <w:rFonts w:hint="eastAsia"/>
          <w:color w:val="auto"/>
          <w:kern w:val="0"/>
        </w:rPr>
        <w:t xml:space="preserve"> in chemical </w:t>
      </w:r>
      <w:r>
        <w:rPr>
          <w:color w:val="auto"/>
          <w:kern w:val="0"/>
        </w:rPr>
        <w:t>synthe</w:t>
      </w:r>
      <w:r>
        <w:rPr>
          <w:rFonts w:hint="eastAsia"/>
          <w:color w:val="auto"/>
          <w:kern w:val="0"/>
        </w:rPr>
        <w:t>sis</w:t>
      </w:r>
      <w:r>
        <w:rPr>
          <w:color w:val="auto"/>
          <w:kern w:val="0"/>
        </w:rPr>
        <w:t>.</w:t>
      </w: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ind w:left="354" w:hanging="353"/>
        <w:rPr>
          <w:color w:val="auto"/>
          <w:kern w:val="0"/>
        </w:rPr>
      </w:pPr>
      <w:r>
        <w:rPr>
          <w:b/>
          <w:bCs/>
          <w:color w:val="auto"/>
          <w:kern w:val="0"/>
        </w:rPr>
        <w:t>7、Packing:</w:t>
      </w:r>
      <w:r>
        <w:rPr>
          <w:color w:val="auto"/>
          <w:kern w:val="0"/>
        </w:rPr>
        <w:t xml:space="preserve"> It is packed with polyethylene bag as inner layer, and a compound plastic woven bag as outer layer. The net weight of each bag is 25kg</w:t>
      </w:r>
      <w:r>
        <w:rPr>
          <w:rFonts w:hint="eastAsia"/>
          <w:color w:val="auto"/>
          <w:kern w:val="0"/>
        </w:rPr>
        <w:t>.</w:t>
      </w:r>
    </w:p>
    <w:p>
      <w:pPr>
        <w:widowControl/>
        <w:kinsoku/>
        <w:overflowPunct/>
        <w:topLinePunct w:val="0"/>
        <w:autoSpaceDE/>
        <w:autoSpaceDN/>
        <w:bidi w:val="0"/>
        <w:spacing w:line="288" w:lineRule="auto"/>
        <w:ind w:left="310" w:hanging="310" w:hangingChars="147"/>
        <w:rPr>
          <w:color w:val="auto"/>
          <w:kern w:val="0"/>
        </w:rPr>
      </w:pPr>
      <w:r>
        <w:rPr>
          <w:b/>
          <w:bCs/>
          <w:color w:val="auto"/>
          <w:kern w:val="0"/>
        </w:rPr>
        <w:t xml:space="preserve">8、Storage and Transport: </w:t>
      </w:r>
      <w:r>
        <w:rPr>
          <w:color w:val="auto"/>
          <w:kern w:val="0"/>
        </w:rPr>
        <w:t>It should be stored in a dry and ventilative warehouse, kept away from heat and moisture during transportation, unloaded with care so as to avoid damage. Furthermore, it must be stored separately from poisonous substances.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qFormat/>
    <w:uiPriority w:val="99"/>
    <w:rPr>
      <w:color w:val="35A1D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2020-08-13T08:41:19Z</dcterms:created>
  <dc:creator>Administrator</dc:creator>
  <cp:lastModifiedBy>王woo</cp:lastModifiedBy>
  <dcterms:modified xsi:type="dcterms:W3CDTF">2020-08-13T08:41:24Z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